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51DC" w14:textId="06E2565D" w:rsidR="00695FCB" w:rsidRPr="00695FCB" w:rsidRDefault="00A9462F" w:rsidP="00695FCB">
      <w:r>
        <w:rPr>
          <w:noProof/>
        </w:rPr>
        <w:drawing>
          <wp:anchor distT="0" distB="0" distL="114300" distR="114300" simplePos="0" relativeHeight="251657728" behindDoc="1" locked="0" layoutInCell="1" allowOverlap="1" wp14:anchorId="2AB6C4AD" wp14:editId="2BE83913">
            <wp:simplePos x="0" y="0"/>
            <wp:positionH relativeFrom="column">
              <wp:posOffset>-480695</wp:posOffset>
            </wp:positionH>
            <wp:positionV relativeFrom="paragraph">
              <wp:posOffset>-1545590</wp:posOffset>
            </wp:positionV>
            <wp:extent cx="6994525" cy="22085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525" cy="220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2461B" w14:textId="77777777" w:rsidR="00695FCB" w:rsidRDefault="00695FCB" w:rsidP="00695FCB">
      <w:pPr>
        <w:rPr>
          <w:rFonts w:ascii="Arial Unicode MS" w:eastAsia="Arial Unicode MS" w:hAnsi="Arial Unicode MS" w:cs="Arial Unicode MS"/>
          <w:sz w:val="20"/>
          <w:szCs w:val="20"/>
        </w:rPr>
      </w:pPr>
    </w:p>
    <w:p w14:paraId="093843D7" w14:textId="77777777" w:rsidR="00695FCB" w:rsidRDefault="00695FCB" w:rsidP="00695FCB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Notiziario n. 4  del 28 febbraio 2025 </w:t>
      </w:r>
    </w:p>
    <w:p w14:paraId="4E8F5444" w14:textId="77777777" w:rsidR="00173415" w:rsidRPr="00663259" w:rsidRDefault="00173415" w:rsidP="00173415">
      <w:pPr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66325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Percorsi abilitanti 2024/25: pubblicato il decreto MUR di attivazione e di </w:t>
      </w:r>
    </w:p>
    <w:p w14:paraId="6BA08147" w14:textId="77777777" w:rsidR="00173415" w:rsidRPr="00663259" w:rsidRDefault="00173415" w:rsidP="00173415">
      <w:pPr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663259">
        <w:rPr>
          <w:rFonts w:ascii="Arial Unicode MS" w:eastAsia="Arial Unicode MS" w:hAnsi="Arial Unicode MS" w:cs="Arial Unicode MS"/>
          <w:b/>
          <w:bCs/>
          <w:sz w:val="20"/>
          <w:szCs w:val="20"/>
        </w:rPr>
        <w:t>autorizzazione dei posti</w:t>
      </w:r>
    </w:p>
    <w:p w14:paraId="078C7310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É stato pubblicato il</w:t>
      </w:r>
      <w:r w:rsidRPr="00663259">
        <w:rPr>
          <w:rFonts w:ascii="Calibri" w:eastAsia="Arial Unicode MS" w:hAnsi="Calibri" w:cs="Calibri"/>
          <w:sz w:val="18"/>
          <w:szCs w:val="18"/>
        </w:rPr>
        <w:tab/>
        <w:t>Decreto Ministeriale</w:t>
      </w:r>
      <w:r w:rsidRPr="00663259">
        <w:rPr>
          <w:rFonts w:ascii="Calibri" w:eastAsia="Arial Unicode MS" w:hAnsi="Calibri" w:cs="Calibri"/>
          <w:sz w:val="18"/>
          <w:szCs w:val="18"/>
        </w:rPr>
        <w:tab/>
        <w:t>di autorizzazione dei post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i e modalità di </w:t>
      </w:r>
    </w:p>
    <w:p w14:paraId="3226E070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selezione per l’attivazione dei percorsi di formazione iniziale dei docenti per l’a.a. </w:t>
      </w:r>
    </w:p>
    <w:p w14:paraId="187D084C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2024/2025.</w:t>
      </w:r>
    </w:p>
    <w:p w14:paraId="0FB41CC3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I posti  autorizzati  per  i  percorsi  accreditati  sono  indicati  nell’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allegato  A ,  che </w:t>
      </w:r>
    </w:p>
    <w:p w14:paraId="0BC00D74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costituisce  parte  integr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ante  e  sostanziale  del 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decreto. Si  p recisa che nell’ allegato A </w:t>
      </w:r>
    </w:p>
    <w:p w14:paraId="61D0DFD9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non  sono  presenti  tutte  le  classi  di  concorso  perché  il  decreto  è  stato  pubblicato </w:t>
      </w:r>
    </w:p>
    <w:p w14:paraId="25287754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prima del completamento dell’accreditamento ANVUR.</w:t>
      </w:r>
    </w:p>
    <w:p w14:paraId="1C768FC9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PERCORSI GIÀ ACCREDITATI NEL 2023/2024</w:t>
      </w:r>
    </w:p>
    <w:p w14:paraId="0B76C353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In premessa, il Decreto specifica che, detto decreto vi</w:t>
      </w:r>
      <w:r w:rsidRPr="00663259">
        <w:rPr>
          <w:rFonts w:ascii="Calibri" w:eastAsia="Arial Unicode MS" w:hAnsi="Calibri" w:cs="Calibri"/>
          <w:sz w:val="18"/>
          <w:szCs w:val="18"/>
        </w:rPr>
        <w:tab/>
        <w:t>ene emanato</w:t>
      </w:r>
      <w:r w:rsidRPr="00663259">
        <w:rPr>
          <w:rFonts w:ascii="Calibri" w:eastAsia="Arial Unicode MS" w:hAnsi="Calibri" w:cs="Calibri"/>
          <w:sz w:val="18"/>
          <w:szCs w:val="18"/>
        </w:rPr>
        <w:tab/>
        <w:t>nelle more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della </w:t>
      </w:r>
    </w:p>
    <w:p w14:paraId="66300E8F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conclusione della</w:t>
      </w:r>
      <w:r w:rsidRPr="00663259">
        <w:rPr>
          <w:rFonts w:ascii="Calibri" w:eastAsia="Arial Unicode MS" w:hAnsi="Calibri" w:cs="Calibri"/>
          <w:sz w:val="18"/>
          <w:szCs w:val="18"/>
        </w:rPr>
        <w:tab/>
        <w:t>procedura di accreditamento dei nuovi percorsi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proposti per </w:t>
      </w:r>
    </w:p>
    <w:p w14:paraId="5CAB61C2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l’a.a. 2024/2025</w:t>
      </w:r>
    </w:p>
    <w:p w14:paraId="35D23934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Pertanto,  in  attesa  della  conclusione  della  procedura  di  accreditamento  dei  nuovi </w:t>
      </w:r>
    </w:p>
    <w:p w14:paraId="5CE93EAE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percorsi  2024/2025,  con  tale  decreto  si  procede  al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l’autorizzazione  dei  posti  e  alla </w:t>
      </w:r>
    </w:p>
    <w:p w14:paraId="7B167B4A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definizione  dei  criteri  di  selezione  relativamente  ai  percorsi  universitari  e  accademici </w:t>
      </w:r>
    </w:p>
    <w:p w14:paraId="2884BD2C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già accreditati nell’a.a. 2023/2024.</w:t>
      </w:r>
    </w:p>
    <w:p w14:paraId="0759FB0F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In  totale  si  tratta  di  44.283  posti.  Tuttavia,  il  totale  si  riferisce  solo  ai  percorsi  già </w:t>
      </w:r>
    </w:p>
    <w:p w14:paraId="22011929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accre ditati nell’a.a. 2023/2024. A questi posti se ne aggiungeranno altri che saranno </w:t>
      </w:r>
    </w:p>
    <w:p w14:paraId="1F2F01E7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autorizzati sui percorsi accreditati per l’a.a. 2024/2025.</w:t>
      </w:r>
    </w:p>
    <w:p w14:paraId="6968C3BF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CALCOLO DEL FABBISOGNO</w:t>
      </w:r>
    </w:p>
    <w:p w14:paraId="732A6581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Il fabbisogno fornito dal Ministero dell’Istruzione e del merito, espresso su base </w:t>
      </w:r>
    </w:p>
    <w:p w14:paraId="3C84EE04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regionale  e per classe di concorso, è stato rapportato all’offerta formativa presentata </w:t>
      </w:r>
    </w:p>
    <w:p w14:paraId="52ABD583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dalle Istituzioni universitarie e accademiche, con il principale scopo di coprire il </w:t>
      </w:r>
    </w:p>
    <w:p w14:paraId="252AD610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lastRenderedPageBreak/>
        <w:t xml:space="preserve">fabbisogno per tutte le classi di concorso, anche prevedendo un ulteriore margine al </w:t>
      </w:r>
    </w:p>
    <w:p w14:paraId="7762E49F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fine di  garantire la selettività delle procedure concorsuali e la sostenibilità del sistema </w:t>
      </w:r>
    </w:p>
    <w:p w14:paraId="27E9AC89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educativo.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In particolare il fabbisogno espresso dal MIM è stato aumentato su base </w:t>
      </w:r>
    </w:p>
    <w:p w14:paraId="4A8CD883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regionale del 30%. Il totale derivante da tale aumento è stato ripartito tra le Istituzio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ni </w:t>
      </w:r>
    </w:p>
    <w:p w14:paraId="185B0424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della regione medesima in base al rapporto tra l’offerta formativa della singola </w:t>
      </w:r>
    </w:p>
    <w:p w14:paraId="76BA97CA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istituzione e il fabbisogno aumentato del 30%.</w:t>
      </w:r>
    </w:p>
    <w:p w14:paraId="6F5E21DB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Tuttavia, nell’ipotesi in cui da tale calcolo derivasse la formazione di una classe di </w:t>
      </w:r>
    </w:p>
    <w:p w14:paraId="0945C9F8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concorso con  meno di 10 posti, si s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ono aumentati gli stessi  in  misura pari a 10 al fine </w:t>
      </w:r>
    </w:p>
    <w:p w14:paraId="5561E8DD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di  garantire  la  sostenibilità  della  classe,  fatti  salvi  i  casi  in  cui  la  stessa  offerta </w:t>
      </w:r>
    </w:p>
    <w:p w14:paraId="282F41D9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presentata risultasse inferiore a 10.</w:t>
      </w:r>
    </w:p>
    <w:p w14:paraId="37FDFA53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OFFERTA FORMATIVA</w:t>
      </w:r>
    </w:p>
    <w:p w14:paraId="2579097C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L’offerta formativa dei percorsi universitari e accademici 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di formazione iniziale e di </w:t>
      </w:r>
    </w:p>
    <w:p w14:paraId="2F6DB0E4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abilitazione dei docenti erogata dalle università e dalle istituzioni AFAM è articolata </w:t>
      </w:r>
    </w:p>
    <w:p w14:paraId="1E27E250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come segue:</w:t>
      </w:r>
    </w:p>
    <w:p w14:paraId="7B21D579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a. Percorso  universitario  e  accademico  abilitante  di  formazione  iniziale  corrispondente  a </w:t>
      </w:r>
    </w:p>
    <w:p w14:paraId="5C078EEC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non meno di 60 crediti formativi universi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tari o accademici di cui all’articolo 2, comma </w:t>
      </w:r>
    </w:p>
    <w:p w14:paraId="2902D944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1, lettera a), del decreto legislativo 13 aprile 2017 n. 59 (allegato 1 del D.P.C.M.);</w:t>
      </w:r>
    </w:p>
    <w:p w14:paraId="6D55BDE6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b. Percorso preordinato all’acquisizione dei 30 CFU/CFA, di cui all’articolo 2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- ter, comma </w:t>
      </w:r>
    </w:p>
    <w:p w14:paraId="0D63033D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4 bis, del decreto legislativo 13 a</w:t>
      </w:r>
      <w:r w:rsidRPr="00663259">
        <w:rPr>
          <w:rFonts w:ascii="Calibri" w:eastAsia="Arial Unicode MS" w:hAnsi="Calibri" w:cs="Calibri"/>
          <w:sz w:val="18"/>
          <w:szCs w:val="18"/>
        </w:rPr>
        <w:tab/>
        <w:t>prile 2017 n. 59 (allegato 2 del D.P.C.M.)</w:t>
      </w:r>
    </w:p>
    <w:p w14:paraId="2A7FF72E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UN SOLO ATENEO</w:t>
      </w:r>
    </w:p>
    <w:p w14:paraId="0A3A6626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Ciascun candidato può presentare domanda di partecipazione per percorsi relativi alla </w:t>
      </w:r>
    </w:p>
    <w:p w14:paraId="7D6D6963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medesima classe</w:t>
      </w:r>
      <w:r w:rsidRPr="00663259">
        <w:rPr>
          <w:rFonts w:ascii="Calibri" w:eastAsia="Arial Unicode MS" w:hAnsi="Calibri" w:cs="Calibri"/>
          <w:sz w:val="18"/>
          <w:szCs w:val="18"/>
        </w:rPr>
        <w:tab/>
        <w:t>di concorso in una sola istituzione.</w:t>
      </w:r>
    </w:p>
    <w:p w14:paraId="6970F3E6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RISERVA DI POSTI</w:t>
      </w:r>
    </w:p>
    <w:p w14:paraId="2D499EFD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Per l’accesso ai percorsi universitari e 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accademici di formazione iniziale e abilitazione </w:t>
      </w:r>
    </w:p>
    <w:p w14:paraId="7C6520FB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di 30 CFU/CFA, per l’anno accademico 2024/2025, una quota di posti nella misura </w:t>
      </w:r>
    </w:p>
    <w:p w14:paraId="4EAF2B8D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del 45 per cento di quelli autorizzati per ogni percorso formativo da 60 CFU/CFA è </w:t>
      </w:r>
    </w:p>
    <w:p w14:paraId="3126AF7E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riservata, a favore di</w:t>
      </w:r>
      <w:r w:rsidRPr="00663259">
        <w:rPr>
          <w:rFonts w:ascii="Calibri" w:eastAsia="Arial Unicode MS" w:hAnsi="Calibri" w:cs="Calibri"/>
          <w:sz w:val="18"/>
          <w:szCs w:val="18"/>
        </w:rPr>
        <w:tab/>
        <w:t>coloro che hanno svol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to servizio presso le istituzioni </w:t>
      </w:r>
    </w:p>
    <w:p w14:paraId="34274480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scolastiche statali o presso le scuole paritarie per almeno tre anni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, anche non </w:t>
      </w:r>
    </w:p>
    <w:p w14:paraId="617BA02A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lastRenderedPageBreak/>
        <w:t xml:space="preserve">continuativi, di cui almeno uno nella specifica classe di concorso per la quale scelgono </w:t>
      </w:r>
    </w:p>
    <w:p w14:paraId="5EBC57E7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di conseguire l’abilitazione nei cinque anni preceden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ti, e coloro che hanno sostenuto la </w:t>
      </w:r>
    </w:p>
    <w:p w14:paraId="7A85214A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prova concorsuale relativa alla procedura straordinaria di cui all’art. 59, comma 9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- bis, </w:t>
      </w:r>
    </w:p>
    <w:p w14:paraId="605B150F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del decreto legge 25 maggio 2021, n.73,</w:t>
      </w:r>
    </w:p>
    <w:p w14:paraId="2143BFFC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Nell’ambito della suddetta quota di riserva, il</w:t>
      </w:r>
      <w:r w:rsidRPr="00663259">
        <w:rPr>
          <w:rFonts w:ascii="Calibri" w:eastAsia="Arial Unicode MS" w:hAnsi="Calibri" w:cs="Calibri"/>
          <w:sz w:val="18"/>
          <w:szCs w:val="18"/>
        </w:rPr>
        <w:tab/>
        <w:t>5  per  cento  è  destinato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ai  titolari  di </w:t>
      </w:r>
    </w:p>
    <w:p w14:paraId="3F28F0BA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con tratti di docenza nei percorsi di istruzione e formazione professionale delle regioni </w:t>
      </w:r>
    </w:p>
    <w:p w14:paraId="20A7E2AB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i  quali  partecipano  ai  percorsi  universitari  e  accademici  di  formazione  iniziale  e </w:t>
      </w:r>
    </w:p>
    <w:p w14:paraId="63AF7E74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abilitazione di 60 CFU/CFA.</w:t>
      </w:r>
    </w:p>
    <w:p w14:paraId="5E931B27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Qualora le domande presentate dai candidati destinatari del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la quota di riserva del 5 per </w:t>
      </w:r>
    </w:p>
    <w:p w14:paraId="4C85A067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cento fossero inferiori al numero dei posti riservati, i posti residui sono resi disponibili </w:t>
      </w:r>
    </w:p>
    <w:p w14:paraId="3D676536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sulla riserva complessiva.​</w:t>
      </w:r>
    </w:p>
    <w:p w14:paraId="42A2A1A2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SELEZIONE PER TITOLI</w:t>
      </w:r>
    </w:p>
    <w:p w14:paraId="741F9598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Qualora le domande di ammissione dei candidati ai percorsi superi i posti disponib</w:t>
      </w:r>
      <w:r w:rsidRPr="00663259">
        <w:rPr>
          <w:rFonts w:ascii="Calibri" w:eastAsia="Arial Unicode MS" w:hAnsi="Calibri" w:cs="Calibri"/>
          <w:sz w:val="18"/>
          <w:szCs w:val="18"/>
        </w:rPr>
        <w:tab/>
        <w:t>ili:</w:t>
      </w:r>
    </w:p>
    <w:p w14:paraId="7ABAEEF0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- per i percorsi da 60 CFU, i criteri per l’accesso ai suddetti percorsi sono individuati </w:t>
      </w:r>
    </w:p>
    <w:p w14:paraId="706D5DCD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all’ allegato B</w:t>
      </w:r>
      <w:r w:rsidRPr="00663259">
        <w:rPr>
          <w:rFonts w:ascii="Calibri" w:eastAsia="Arial Unicode MS" w:hAnsi="Calibri" w:cs="Calibri"/>
          <w:sz w:val="18"/>
          <w:szCs w:val="18"/>
        </w:rPr>
        <w:tab/>
        <w:t>, che costituisce parte integrante e s</w:t>
      </w:r>
      <w:r w:rsidRPr="00663259">
        <w:rPr>
          <w:rFonts w:ascii="Calibri" w:eastAsia="Arial Unicode MS" w:hAnsi="Calibri" w:cs="Calibri"/>
          <w:sz w:val="18"/>
          <w:szCs w:val="18"/>
        </w:rPr>
        <w:tab/>
        <w:t>ostanziale del presente decreto;</w:t>
      </w:r>
    </w:p>
    <w:p w14:paraId="2EB481FA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- per  i percorsi 30 CFU allegato 2 (per triennalisti/concorso straordinario  BIS)  i criteri </w:t>
      </w:r>
    </w:p>
    <w:p w14:paraId="5DEB1B13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per  l’accesso  sono  quelli  indicati  nell’</w:t>
      </w:r>
      <w:r w:rsidRPr="00663259">
        <w:rPr>
          <w:rFonts w:ascii="Calibri" w:eastAsia="Arial Unicode MS" w:hAnsi="Calibri" w:cs="Calibri"/>
          <w:sz w:val="18"/>
          <w:szCs w:val="18"/>
        </w:rPr>
        <w:tab/>
        <w:t>allegato  A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,  al  decreto 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ministeriale  del  24 </w:t>
      </w:r>
    </w:p>
    <w:p w14:paraId="1F7A9E24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febbraio 2025, prot. 148. 4.</w:t>
      </w:r>
    </w:p>
    <w:p w14:paraId="3E1196AE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In tutti i c asi previsti dai commi precedenti i candidati sono ammessi ai corsi secondo </w:t>
      </w:r>
    </w:p>
    <w:p w14:paraId="43CE759D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l’ordine della graduatoria di merito.</w:t>
      </w:r>
    </w:p>
    <w:p w14:paraId="6282F128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SVOLGIMENTO E DURATA</w:t>
      </w:r>
    </w:p>
    <w:p w14:paraId="546A85AA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Per l’anno accademico 2024/2025 i percorsi universitari e accademici di formazione </w:t>
      </w:r>
    </w:p>
    <w:p w14:paraId="1596A772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iniziale possono essere svolti, a escl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usione delle attività di tirocinio e di laboratorio, </w:t>
      </w:r>
    </w:p>
    <w:p w14:paraId="4FA28E57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con modalità telematiche, comunque sincrone, anche in deroga al limite previsto dal </w:t>
      </w:r>
    </w:p>
    <w:p w14:paraId="2A3B75D9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citato articolo 2</w:t>
      </w:r>
      <w:r w:rsidRPr="00663259">
        <w:rPr>
          <w:rFonts w:ascii="Calibri" w:eastAsia="Arial Unicode MS" w:hAnsi="Calibri" w:cs="Calibri"/>
          <w:sz w:val="18"/>
          <w:szCs w:val="18"/>
        </w:rPr>
        <w:tab/>
        <w:t>- bis, comma 1, secondo periodo, e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in ogni caso in misura non </w:t>
      </w:r>
    </w:p>
    <w:p w14:paraId="4624E24B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superiore al 50 per cento del totale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. Res tano fermi i requisiti di accreditamento dei </w:t>
      </w:r>
    </w:p>
    <w:p w14:paraId="100A36A2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percorsi individuati dal DPCM 4 agosto 2023.</w:t>
      </w:r>
    </w:p>
    <w:p w14:paraId="72DEA117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Il  riconoscimento  dei  crediti  maturati  nel  corso  degli  studi  universitari  o  accademici </w:t>
      </w:r>
    </w:p>
    <w:p w14:paraId="61D6F10E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lastRenderedPageBreak/>
        <w:t>avviene secondo quanto disposto dall’art. 8, commi 1 e 2 del DPCM 4 agosto 2023</w:t>
      </w:r>
      <w:r w:rsidRPr="00663259">
        <w:rPr>
          <w:rFonts w:ascii="Calibri" w:eastAsia="Arial Unicode MS" w:hAnsi="Calibri" w:cs="Calibri"/>
          <w:sz w:val="18"/>
          <w:szCs w:val="18"/>
        </w:rPr>
        <w:tab/>
        <w:t>.</w:t>
      </w:r>
    </w:p>
    <w:p w14:paraId="0DEA901D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Per l’accesso alla prova finale, le cui modalità di svolgimento sono definite dall’art. 9 </w:t>
      </w:r>
    </w:p>
    <w:p w14:paraId="7AA75CD5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del  DPCM  4  agosto  2023,  è  necessaria  una  percentuale  minima  di  presenza  alle </w:t>
      </w:r>
    </w:p>
    <w:p w14:paraId="01A14F58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attività formative pari al 70 per cento per ogni attività formativa.</w:t>
      </w:r>
    </w:p>
    <w:p w14:paraId="246D8F1B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Le  istituzioni  che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erogano  la  formazione,  in  base  ai  rispettivi  regolamenti  universitari </w:t>
      </w:r>
    </w:p>
    <w:p w14:paraId="1A17B1C3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e accademici, possono consentire la sospensione del percorso di formazione  iniziale e </w:t>
      </w:r>
    </w:p>
    <w:p w14:paraId="1A0B589A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l’eventuale prosecuzione anche  nell’anno accademico successivo, con salvaguardia </w:t>
      </w:r>
    </w:p>
    <w:p w14:paraId="4052C41B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della parte di for</w:t>
      </w:r>
      <w:r w:rsidRPr="00663259">
        <w:rPr>
          <w:rFonts w:ascii="Calibri" w:eastAsia="Arial Unicode MS" w:hAnsi="Calibri" w:cs="Calibri"/>
          <w:sz w:val="18"/>
          <w:szCs w:val="18"/>
        </w:rPr>
        <w:tab/>
        <w:t>mazione già svolta, in caso di comprovate e documentate esigenze.</w:t>
      </w:r>
    </w:p>
    <w:p w14:paraId="423A0BD3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CLASSI DI CONCORSO ITP</w:t>
      </w:r>
    </w:p>
    <w:p w14:paraId="47E46EE0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Fino al 31 dicembre 2025, cosi come previsto dall’art. 5 comma 1 del decreto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- legge 27 </w:t>
      </w:r>
    </w:p>
    <w:p w14:paraId="217E5D52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dicembre 2024, n. 202, per i posti di insegnante tecnico pratico rimangono fermi 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i </w:t>
      </w:r>
    </w:p>
    <w:p w14:paraId="07CED362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requisiti previsti dalla normativa vigente.</w:t>
      </w:r>
    </w:p>
    <w:p w14:paraId="248FF9BF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CLASSI DI CONCORSO ACCORPATE</w:t>
      </w:r>
    </w:p>
    <w:p w14:paraId="426CCF21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I docenti che acquisiscono l’abilitazione all’insegnamento in una delle classi di </w:t>
      </w:r>
    </w:p>
    <w:p w14:paraId="63530E69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concorso che sono confluite, ai sensi del decreto del Ministro dell’istruzione e del </w:t>
      </w:r>
    </w:p>
    <w:p w14:paraId="045CC1CB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merito adottat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o di concerto con il Ministro dell’università e della ricerca del </w:t>
      </w:r>
    </w:p>
    <w:p w14:paraId="75832E95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22.12.2023, n. 255 nelle classi A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- 01, A - 12, A - 22, A - 30 e A - 48, A - 70 e A71 sono da </w:t>
      </w:r>
    </w:p>
    <w:p w14:paraId="449EFFEB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considerarsi abilitati per tutti gli insegnamenti compresi nell’aggregazione e per la </w:t>
      </w:r>
    </w:p>
    <w:p w14:paraId="22CCA287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nTIROCIN</w:t>
      </w:r>
      <w:r w:rsidRPr="00663259">
        <w:rPr>
          <w:rFonts w:ascii="Calibri" w:eastAsia="Arial Unicode MS" w:hAnsi="Calibri" w:cs="Calibri"/>
          <w:sz w:val="18"/>
          <w:szCs w:val="18"/>
        </w:rPr>
        <w:tab/>
        <w:t>IO</w:t>
      </w:r>
    </w:p>
    <w:p w14:paraId="1F83EBD0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Per l’acquisizione di ogni CFU o CFA di tirocinio è previsto un impegno in presenza </w:t>
      </w:r>
    </w:p>
    <w:p w14:paraId="22FA4B14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nei gruppi</w:t>
      </w:r>
      <w:r w:rsidRPr="00663259">
        <w:rPr>
          <w:rFonts w:ascii="Calibri" w:eastAsia="Arial Unicode MS" w:hAnsi="Calibri" w:cs="Calibri"/>
          <w:sz w:val="18"/>
          <w:szCs w:val="18"/>
        </w:rPr>
        <w:tab/>
        <w:t>- classe pari a dodici ore.</w:t>
      </w:r>
    </w:p>
    <w:p w14:paraId="771F00CD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Per lo svolgimento delle attività di tirocinio, di cui all’art. 10 del DPCM 4 agosto </w:t>
      </w:r>
    </w:p>
    <w:p w14:paraId="7B6E9DB3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2023,  i  Centri  si  avvalgono 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di  pe rsonale  docente  in  servizio  presso  le  scuole </w:t>
      </w:r>
    </w:p>
    <w:p w14:paraId="5DA4C526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secondarie di primo e di secondo grado in qualità di tutor coordinatore presso i Centri </w:t>
      </w:r>
    </w:p>
    <w:p w14:paraId="152C3D04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e  di  tutor  tirocinanti  nelle  istituzioni  scolastiche.  La  disciplina  è  definita  dal  decreto </w:t>
      </w:r>
    </w:p>
    <w:p w14:paraId="5D2D7FBE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del Ministro dell’istruzione e d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el  merito  del  2  dicembre  2024,  n.  378,  adottato  di </w:t>
      </w:r>
    </w:p>
    <w:p w14:paraId="358A8C31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concerto con il Ministro dell’università e della ricerca e col Ministro dell’economia e </w:t>
      </w:r>
    </w:p>
    <w:p w14:paraId="1F310A6C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delle finanze.</w:t>
      </w:r>
    </w:p>
    <w:p w14:paraId="376983D0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lastRenderedPageBreak/>
        <w:t xml:space="preserve">In  sede  di  prima  applicazione  per  gli  aa.ss.  2023/2024  e  2024/2025,  ai  fini  della </w:t>
      </w:r>
    </w:p>
    <w:p w14:paraId="65F28D57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definizione  dell’ele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nco  regionale 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delle  Istituzioni 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scolastiche 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sedi  di  tirocinio  si </w:t>
      </w:r>
    </w:p>
    <w:p w14:paraId="25252716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applicano le disposizioni di cui al decreto del Ministro dell’istruzione, dell’università e </w:t>
      </w:r>
    </w:p>
    <w:p w14:paraId="1D5940B9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della  ricerca  30  novembre  2012,  pubblicato  nella  Gazzetta  Ufficiale  n.  291  del  14 </w:t>
      </w:r>
    </w:p>
    <w:p w14:paraId="0414C8DC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dicembre 2012.</w:t>
      </w:r>
    </w:p>
    <w:p w14:paraId="2C6A569F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PE RCORSI DI COMPLETAMENTO PER I VINCITORI</w:t>
      </w:r>
    </w:p>
    <w:p w14:paraId="0689DC2B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Per i vincitori di concorso, l’offerta formativa relativa ai percorsi di </w:t>
      </w:r>
    </w:p>
    <w:p w14:paraId="71D01F41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completamento,</w:t>
      </w:r>
      <w:r w:rsidRPr="00663259">
        <w:rPr>
          <w:rFonts w:ascii="Calibri" w:eastAsia="Arial Unicode MS" w:hAnsi="Calibri" w:cs="Calibri"/>
          <w:sz w:val="18"/>
          <w:szCs w:val="18"/>
        </w:rPr>
        <w:tab/>
        <w:t>che sono esclusi dal livello sostenibile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, è erogata dalle università e </w:t>
      </w:r>
    </w:p>
    <w:p w14:paraId="584C054F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dalle istituzioni AFAM che abbiano percorsi già accredita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ti nell’a.a. 2023/2024 o che </w:t>
      </w:r>
    </w:p>
    <w:p w14:paraId="77749BE9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siano in attesa di accreditamento per l’a.a. 2024/2025, nella seguente articolazione.</w:t>
      </w:r>
    </w:p>
    <w:p w14:paraId="4F8E2F48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a. Percorso  preordinato  all’acquisizione  dei  30  CFU/CFA  destinato  ai  vincitori  del </w:t>
      </w:r>
    </w:p>
    <w:p w14:paraId="1CB8BDE4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concorso ai sensi dell’articolo 13, comma 2, del decreto legi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slativo  13  aprile  2017  n. </w:t>
      </w:r>
    </w:p>
    <w:p w14:paraId="76599A68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59 (allegato 2 del D.P.C.M.).</w:t>
      </w:r>
    </w:p>
    <w:p w14:paraId="66858C07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b. Percorso  preordinato  all’acquisizione  dei  30  CFU/CFA  di  completamento,  di  cui </w:t>
      </w:r>
    </w:p>
    <w:p w14:paraId="2C59D950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all’articolo 18 bis comma 3, secondo periodo, del decreto legislativo 13 aprile 2017 n. </w:t>
      </w:r>
    </w:p>
    <w:p w14:paraId="0DF293B4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59, destinato ai vincitori del con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corso di cui al comma 1 dello stesso articolo (allegato </w:t>
      </w:r>
    </w:p>
    <w:p w14:paraId="2E19185D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4 del D.P.C.M.).</w:t>
      </w:r>
    </w:p>
    <w:p w14:paraId="13C87590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c. Percorso  preordinato  all’acquisizione  dei  36  CFU/CFA  di  completamento,  di  cui </w:t>
      </w:r>
    </w:p>
    <w:p w14:paraId="0C52DD9F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all’articolo 18 bis, comma 4, secondo periodo, del decreto legislativo 13 aprile 2017 n. </w:t>
      </w:r>
    </w:p>
    <w:p w14:paraId="620CDB1A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59,  destinato  a 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coloro  i  quali,  entro  il  31  ottobre  2022,  abbiano  conseguito  i  24 </w:t>
      </w:r>
    </w:p>
    <w:p w14:paraId="223E5315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CFU/CFA (allegato 5 del D.P.C.M.)</w:t>
      </w:r>
    </w:p>
    <w:p w14:paraId="4C060FEA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Per  il  percorso  di  completamento  di  cui  al  comma  1,  lett.  b),  il  costo  massimo </w:t>
      </w:r>
    </w:p>
    <w:p w14:paraId="1F9D6232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 xml:space="preserve">complessivo,  tenuto  conto  del  percorso  già  sostenuto  in  qualsiasi  delle  sedi </w:t>
      </w:r>
      <w:r w:rsidRPr="00663259">
        <w:rPr>
          <w:rFonts w:ascii="Calibri" w:eastAsia="Arial Unicode MS" w:hAnsi="Calibri" w:cs="Calibri"/>
          <w:sz w:val="18"/>
          <w:szCs w:val="18"/>
        </w:rPr>
        <w:tab/>
        <w:t xml:space="preserve">già </w:t>
      </w:r>
    </w:p>
    <w:p w14:paraId="73CCD800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  <w:r w:rsidRPr="00663259">
        <w:rPr>
          <w:rFonts w:ascii="Calibri" w:eastAsia="Arial Unicode MS" w:hAnsi="Calibri" w:cs="Calibri"/>
          <w:sz w:val="18"/>
          <w:szCs w:val="18"/>
        </w:rPr>
        <w:t>accreditate, non può superare l’importo di euro 2.500.</w:t>
      </w:r>
    </w:p>
    <w:p w14:paraId="14876EEA" w14:textId="77777777" w:rsidR="00173415" w:rsidRPr="00663259" w:rsidRDefault="00173415" w:rsidP="00173415">
      <w:pPr>
        <w:rPr>
          <w:rFonts w:ascii="Calibri" w:eastAsia="Arial Unicode MS" w:hAnsi="Calibri" w:cs="Calibri"/>
          <w:sz w:val="18"/>
          <w:szCs w:val="18"/>
        </w:rPr>
      </w:pPr>
    </w:p>
    <w:sectPr w:rsidR="00173415" w:rsidRPr="00663259" w:rsidSect="000268A3"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C9B1" w14:textId="77777777" w:rsidR="00572560" w:rsidRDefault="00572560" w:rsidP="000268A3">
      <w:pPr>
        <w:spacing w:after="0" w:line="240" w:lineRule="auto"/>
      </w:pPr>
      <w:r>
        <w:separator/>
      </w:r>
    </w:p>
  </w:endnote>
  <w:endnote w:type="continuationSeparator" w:id="0">
    <w:p w14:paraId="3F551969" w14:textId="77777777" w:rsidR="00572560" w:rsidRDefault="00572560" w:rsidP="00026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1E90" w14:textId="77777777" w:rsidR="00572560" w:rsidRDefault="00572560" w:rsidP="000268A3">
      <w:pPr>
        <w:spacing w:after="0" w:line="240" w:lineRule="auto"/>
      </w:pPr>
      <w:r>
        <w:separator/>
      </w:r>
    </w:p>
  </w:footnote>
  <w:footnote w:type="continuationSeparator" w:id="0">
    <w:p w14:paraId="6387E004" w14:textId="77777777" w:rsidR="00572560" w:rsidRDefault="00572560" w:rsidP="00026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1B72"/>
    <w:multiLevelType w:val="multilevel"/>
    <w:tmpl w:val="1B5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82F9D"/>
    <w:multiLevelType w:val="multilevel"/>
    <w:tmpl w:val="3454D27C"/>
    <w:lvl w:ilvl="0">
      <w:start w:val="1"/>
      <w:numFmt w:val="decimal"/>
      <w:lvlText w:val="%1."/>
      <w:lvlJc w:val="left"/>
      <w:pPr>
        <w:tabs>
          <w:tab w:val="num" w:pos="7023"/>
        </w:tabs>
        <w:ind w:left="7023" w:hanging="360"/>
      </w:pPr>
    </w:lvl>
    <w:lvl w:ilvl="1" w:tentative="1">
      <w:start w:val="1"/>
      <w:numFmt w:val="decimal"/>
      <w:lvlText w:val="%2."/>
      <w:lvlJc w:val="left"/>
      <w:pPr>
        <w:tabs>
          <w:tab w:val="num" w:pos="7743"/>
        </w:tabs>
        <w:ind w:left="7743" w:hanging="360"/>
      </w:pPr>
    </w:lvl>
    <w:lvl w:ilvl="2" w:tentative="1">
      <w:start w:val="1"/>
      <w:numFmt w:val="decimal"/>
      <w:lvlText w:val="%3."/>
      <w:lvlJc w:val="left"/>
      <w:pPr>
        <w:tabs>
          <w:tab w:val="num" w:pos="8463"/>
        </w:tabs>
        <w:ind w:left="8463" w:hanging="360"/>
      </w:pPr>
    </w:lvl>
    <w:lvl w:ilvl="3" w:tentative="1">
      <w:start w:val="1"/>
      <w:numFmt w:val="decimal"/>
      <w:lvlText w:val="%4."/>
      <w:lvlJc w:val="left"/>
      <w:pPr>
        <w:tabs>
          <w:tab w:val="num" w:pos="9183"/>
        </w:tabs>
        <w:ind w:left="9183" w:hanging="360"/>
      </w:pPr>
    </w:lvl>
    <w:lvl w:ilvl="4" w:tentative="1">
      <w:start w:val="1"/>
      <w:numFmt w:val="decimal"/>
      <w:lvlText w:val="%5."/>
      <w:lvlJc w:val="left"/>
      <w:pPr>
        <w:tabs>
          <w:tab w:val="num" w:pos="9903"/>
        </w:tabs>
        <w:ind w:left="9903" w:hanging="360"/>
      </w:pPr>
    </w:lvl>
    <w:lvl w:ilvl="5" w:tentative="1">
      <w:start w:val="1"/>
      <w:numFmt w:val="decimal"/>
      <w:lvlText w:val="%6."/>
      <w:lvlJc w:val="left"/>
      <w:pPr>
        <w:tabs>
          <w:tab w:val="num" w:pos="10623"/>
        </w:tabs>
        <w:ind w:left="10623" w:hanging="360"/>
      </w:pPr>
    </w:lvl>
    <w:lvl w:ilvl="6" w:tentative="1">
      <w:start w:val="1"/>
      <w:numFmt w:val="decimal"/>
      <w:lvlText w:val="%7."/>
      <w:lvlJc w:val="left"/>
      <w:pPr>
        <w:tabs>
          <w:tab w:val="num" w:pos="11343"/>
        </w:tabs>
        <w:ind w:left="11343" w:hanging="360"/>
      </w:pPr>
    </w:lvl>
    <w:lvl w:ilvl="7" w:tentative="1">
      <w:start w:val="1"/>
      <w:numFmt w:val="decimal"/>
      <w:lvlText w:val="%8."/>
      <w:lvlJc w:val="left"/>
      <w:pPr>
        <w:tabs>
          <w:tab w:val="num" w:pos="12063"/>
        </w:tabs>
        <w:ind w:left="12063" w:hanging="360"/>
      </w:pPr>
    </w:lvl>
    <w:lvl w:ilvl="8" w:tentative="1">
      <w:start w:val="1"/>
      <w:numFmt w:val="decimal"/>
      <w:lvlText w:val="%9."/>
      <w:lvlJc w:val="left"/>
      <w:pPr>
        <w:tabs>
          <w:tab w:val="num" w:pos="12783"/>
        </w:tabs>
        <w:ind w:left="12783" w:hanging="360"/>
      </w:pPr>
    </w:lvl>
  </w:abstractNum>
  <w:abstractNum w:abstractNumId="2" w15:restartNumberingAfterBreak="0">
    <w:nsid w:val="5C585804"/>
    <w:multiLevelType w:val="multilevel"/>
    <w:tmpl w:val="D88A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74"/>
    <w:rsid w:val="00000520"/>
    <w:rsid w:val="000268A3"/>
    <w:rsid w:val="00067DD9"/>
    <w:rsid w:val="00070EC2"/>
    <w:rsid w:val="000B0414"/>
    <w:rsid w:val="00173415"/>
    <w:rsid w:val="0018120F"/>
    <w:rsid w:val="001F4F7E"/>
    <w:rsid w:val="00220C57"/>
    <w:rsid w:val="00225837"/>
    <w:rsid w:val="00321F86"/>
    <w:rsid w:val="00572560"/>
    <w:rsid w:val="005F5FA5"/>
    <w:rsid w:val="006063BA"/>
    <w:rsid w:val="00621E80"/>
    <w:rsid w:val="00663259"/>
    <w:rsid w:val="00687FB4"/>
    <w:rsid w:val="00695FCB"/>
    <w:rsid w:val="006E4D00"/>
    <w:rsid w:val="007B75C4"/>
    <w:rsid w:val="00A9462F"/>
    <w:rsid w:val="00C74174"/>
    <w:rsid w:val="00D73574"/>
    <w:rsid w:val="00F8544E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06E6C"/>
  <w15:docId w15:val="{470D685A-2B4D-4373-A354-30C958EF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8A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26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26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68A3"/>
  </w:style>
  <w:style w:type="paragraph" w:styleId="Pidipagina">
    <w:name w:val="footer"/>
    <w:basedOn w:val="Normale"/>
    <w:link w:val="PidipaginaCarattere"/>
    <w:uiPriority w:val="99"/>
    <w:semiHidden/>
    <w:unhideWhenUsed/>
    <w:rsid w:val="000268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6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4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7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0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6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69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791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9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6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3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6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29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5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1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4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0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15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5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6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3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4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1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77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13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61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6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75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4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2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3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5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39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50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5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3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3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8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8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0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2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8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9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8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2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96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2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6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9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66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0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5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59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7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3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9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8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3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1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2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21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2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7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51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0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4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3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96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9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8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7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4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1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21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8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7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3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1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7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4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0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87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6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2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9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69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795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5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6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6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1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2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36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1464</Words>
  <Characters>8346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giovannab</cp:lastModifiedBy>
  <cp:revision>2</cp:revision>
  <dcterms:created xsi:type="dcterms:W3CDTF">2025-03-03T07:13:00Z</dcterms:created>
  <dcterms:modified xsi:type="dcterms:W3CDTF">2025-03-03T07:13:00Z</dcterms:modified>
</cp:coreProperties>
</file>